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224</w:t>
      </w:r>
    </w:p>
    <w:p>
      <w:r>
        <w:t>Bundesgericht (BGE), 1995-06-29, DE</w:t>
      </w:r>
    </w:p>
    <w:p>
      <w:r>
        <w:rPr>
          <w:b/>
        </w:rPr>
        <w:t xml:space="preserve">Quelle: </w:t>
      </w:r>
      <w:r>
        <w:t>https://mcp.opencaselaw.ch/entscheid/bge_121 IV 224</w:t>
      </w:r>
    </w:p>
    <w:p>
      <w:r>
        <w:t>FR: ATF 121 IV 224</w:t>
      </w:r>
    </w:p>
    <w:p>
      <w:r>
        <w:t>IT: DTF 121 IV 224</w:t>
      </w:r>
    </w:p>
    <w:p>
      <w:pPr>
        <w:pStyle w:val="Heading2"/>
      </w:pPr>
      <w:r>
        <w:t>Regeste</w:t>
      </w:r>
    </w:p>
    <w:p>
      <w:r>
        <w:t>Regeste Art. 350 und 351 StGB, Art. 263 BStP; Festsetzung des Gerichtsstandes bei Massenprozessen. Anforderungen an den Inhalt des Gesuches um Bestimmung eines von der gesetzlichen Regelung abweichenden Gerichtsstandes (E. 1). Aus triftigen Gründen kann ausnahmsweise vom gesetzlichen Gerichtsstand abgewichen werden. Ist zu befürchten, dass es angesichts einer grossen Zahl von Angeschuldigten zu unerwünschten Massenprozessen kommen könnte, rechtfertigt es sich, vom gesetzlichen Gerichtsstand abzuweichen und die Verfahren nach dem Wohnsitz der Angeschuldigten zu trennen (E. 3).</w:t>
      </w:r>
    </w:p>
    <w:p>
      <w:pPr>
        <w:pStyle w:val="Heading2"/>
      </w:pPr>
      <w:r>
        <w:t>Erwägungen</w:t>
      </w:r>
    </w:p>
    <w:p>
      <w:r>
        <w:rPr>
          <w:b/>
        </w:rPr>
        <w:t>E. 1</w:t>
      </w:r>
    </w:p>
    <w:p>
      <w:r>
        <w:t>Die Staatsanwaltschaft des Kantons Aargau beantragt, auf das Gesuch nicht einzutreten, weil dieses ungenügend begründet sei. Nach der Rechtsprechung der Anklagekammer genügt ein Gesuch in inhaltlicher Hinsicht den Anforderungen nur dann, wenn ihm ohne Durchsicht der kantonalen Akten die für die Bestimmung des Gerichtsstandes erforderlichen und wesentlichen Tatsachen entnommen werden können ( BGE 116 IV 175 mit Hinweisen). Im vorliegenden Fall genügt das Gesuch um Festsetzung der Gerichtsstandes diesen Anforderungen. Einerseits ist zu berücksichtigen, dass nicht die Festlegung des gesetzlichen, sondern eines davon abweichenden Gerichtsstandes beantragt wird. Der Gesuchsteller durfte sich daher in seinem Gesuch ohne weiteres darauf beschränken, sich zu den Kriterien für die Festsetzung des gesetzlichen Gerichtsstandes kurz zu halten und sich hauptsächlich damit auseinanderzusetzen, welche Gründe für ein Abweichen vom gesetzlichen Gerichtsstand sprechen. Anderseits ist zu berücksichtigen, dass an die inhaltlichen Angaben bei der Festsetzung des Gerichtsstandes für eine Vielzahl von derzeit pendenten oder künftigen Strafverfahren weniger detaillierte Angaben erforderlich sind, um die Frage nach dem Gerichtsstand grundsätzlich zu entscheiden (unveröffentlichtes Urteil der Anklagekammer des Bundesgerichts vom 19. Oktober 1989 in Sachen "Pilotspiel"). BGE 121 IV 224 S. 227 Daher erweist sich der Einwand als unzutreffend, das Gesuch genüge den inhaltlichen Anforderungen nicht. Auf das Gesuch ist deshalb einzutreten.</w:t>
      </w:r>
    </w:p>
    <w:p>
      <w:r>
        <w:rPr>
          <w:b/>
        </w:rPr>
        <w:t>E. 2</w:t>
      </w:r>
    </w:p>
    <w:p>
      <w:r>
        <w:t>Der Kanton Basel-Stadt wirft den Exponenten des EKC vor, durch den Verkauf von "Letters" in verschiedenen Kantonen sich des gewerbsmässigen Betruges schuldig gemacht zu haben. Wird jemand wegen mehrerer, an verschiedenen Orten verübter strafbarer Handlungen, die mit gleicher Strafe bedroht sind, verfolgt, so sind gemäss Art. 350 Ziff. 1 Abs. 2 StGB die Behörden des Ortes zuständig, wo die Untersuchung zuerst angehoben wurde. Da im Kanton Basel-Stadt die Strafuntersuchung gegen die Beteiligten des EKC zuerst angehoben wurde, sind sich die Parteien darin einig, dass der gesetzliche Gerichtsstand im Kanton Basel-Stadt liegt.</w:t>
      </w:r>
    </w:p>
    <w:p>
      <w:r>
        <w:rPr>
          <w:b/>
        </w:rPr>
        <w:t>E. 3</w:t>
      </w:r>
    </w:p>
    <w:p>
      <w:r>
        <w:t>Der Gesuchsteller ist indessen der Auffassung, es lägen triftige Gründe für ein Abweichen vom gesetzlichen Gerichtsstand vor. Aus Gründen der Prozessökonomie dränge es sich auf, dass die Beschuldigten entgegen der gesetzlichen Regelung in ihrem Wohnsitzkanton zu verfolgen und zu beurteilen seien. In diesem Sinn hätten sich denn auch mit Ausnahme von zwei Kantonen alle mit Strafverfahren gegen die Exponenten des EKC befassten Kantone auf das Wohnsitzprinzip geeinigt. a) Nach der Praxis der Anklagekammer darf vom gesetzlichen Gerichtsstand in Anwendung von Art. 263 BStP ausnahmsweise abgewichen werden, wenn triftige Gründe dafür vorliegen ( BGE 117 IV 90 E. 4a, BGE 117 IV 87 E. 2a, BGE 88 IV 42 E. 2, je mit Hinweisen; SCHWERI, Interkantonale Gerichtsstandsbestimmung in Strafsachen, Bern 1987, N. 408). Ein Abweichen vom gesetzlichen Gerichtsstand kann sich dabei aus verschiedenen Gründen aufdrängen (vgl. zur umfangreichen Kasuistik SCHWERI, a.a.O., N. 410 ff.). Namentlich kann der Gerichtsstand durch Vereinbarung unter den Kantonen anders als nach den Regeln des Strafgesetzbuches bestimmt werden ( BGE 117 IV 90 E. 4a; SCHWERI, a.a.O., N. 410 ff.). Auch aus Zweckmässigkeits- und prozessökonomischen Gründen kann ein Abweichen vom gesetzlichen Gerichtsstand gerechtfertigt sein ( BGE 117 IV 90 E. 4a, ähnlich BGE 119 IV 102 E. 5a; SCHWERI, a.a.O., N. 447 ff.). b) Wie der Gesuchsteller zutreffend ausführt, liegen bei den Strafverfahren im Zusammenhang mit dem EKC besondere Verhältnisse vor. Die den Investoren vom EKC in Aussicht gestellten hohen Renditen auf die Einlage kann nur ausgeschüttet werden, wenn entweder die bereits beteiligten Personen ihren BGE 121 IV 224 S. 228 Einsatz laufend erhöhen oder wenn zusätzliche Personen gewonnen werden können, die bereit sind, sich am Investitionssystem zu beteiligen. Dieses "pyramidenähnlichen Investitionssystem" funktioniert nur solange, als ständig neue "Letters" gezeichnet werden, um damit die Ausschüttungen zu Gunsten der früheren Investoren zu finanzieren. Die Natur dieses Umlagerungsverfahrens bringt es mit sich, dass zahlreiche Personen daran beteiligt sind und dass sich dessen Aktivitäten räumlich sehr weit ausdehnen können. c) Aufgrund der Funktionsweise des EKC ist davon auszugehen, dass zahlreiche Personen als Letter-Verkäufer tätig geworden sind. Würde unter diesen Umständen der Gerichtsstand ausschliesslich nach den gesetzlichen Vorschriften bestimmt, könnte dies zu unerwünschten Massenprozessen führen. Das Interesse an einer raschen Abwicklung der Strafverfolgung lässt daher eine Trennung der Verfahren als zweckmässig erscheinen. Die Anklagekammer hat in einem vergleichbaren Fall erkannt, dass eine Trennung der Verfahren nach Personen die sinnvollste Lösung darstelle, da die Strafverfahren am raschesten und einfachsten am Wohnsitz der Angeschuldigten durchgeführt werden könnten (unveröffentlichtes Urteil vom 19. Oktober 1989 in Sachen "Pilotspiel"; vgl. auch SCHWERI, a.a.O., N. 448). Aus Gründen der Zweckmässigkeit und Prozessökonomie rechtfertigt es sich daher, vom gesetzlichen Gerichtsstand abzuweichen, zumal dem Erfordernis der Koordination durch die Vereinbarung der beteiligten Kantone Rechnung getragen wurde, eine sechsköpfige interkantonale Koordinationsgruppe einzusetzen, die durch mehrere Beamten der Bundesanwaltschaft verstärkt wird. Eine Abweichung vom gesetzlichen Gerichtsstand am Ort der ersten Untersuchungshandlung erweist sich sodann im vorliegenden Fall auch deshalb als zweckmässig, damit nicht ein Anreiz für die Kantone geschaffen wird, mit der Anhebung einer Strafuntersuchung bei grenzüberschreitender organisierter Kriminalität möglichst lange zuzuwarten, um nicht einen gesetzlichen Gerichtsstand im eigenen Kanton zu präjudizieren. Schliesslich ist auch zu berücksichtigen, dass anlässlich der interkantonalen Untersuchungsrichterkonferenz vom 10. Januar 1995 15 von 17 beteiligte Untersuchungsrichter dem Wohnsitzprinzip hinsichtlich der Strafuntersuchungen gegen die Exponenten des EKC zugestimmt haben. Diese Vereinbarung, welcher der Kanton Aargau als Gesuchsgegner zwar nicht verbindlich zugestimmt hat, bestätigt die Annahme, dass triftige Gründe BGE 121 IV 224 S. 229 dafür bestehen, die Zuständigkeit bezüglich der Strafverfahren nach dem Wohnsitzprinzip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